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BF" w:rsidRPr="00F51921" w:rsidRDefault="00884DBF" w:rsidP="00AB1D5E">
      <w:pPr>
        <w:rPr>
          <w:rStyle w:val="fontstyle01"/>
          <w:sz w:val="28"/>
          <w:szCs w:val="28"/>
        </w:rPr>
      </w:pPr>
      <w:r w:rsidRPr="00F51921">
        <w:rPr>
          <w:rStyle w:val="fontstyle01"/>
          <w:color w:val="00B0F0"/>
          <w:sz w:val="28"/>
          <w:szCs w:val="28"/>
        </w:rPr>
        <w:t>NAPOMENA</w:t>
      </w:r>
      <w:r w:rsidRPr="00F51921">
        <w:rPr>
          <w:rStyle w:val="fontstyle01"/>
          <w:sz w:val="28"/>
          <w:szCs w:val="28"/>
        </w:rPr>
        <w:br/>
      </w:r>
      <w:r w:rsidR="00AB1D5E">
        <w:rPr>
          <w:rStyle w:val="fontstyle01"/>
          <w:sz w:val="28"/>
          <w:szCs w:val="28"/>
        </w:rPr>
        <w:t xml:space="preserve">Učenici koji su dobili prezentacije neka urade </w:t>
      </w:r>
      <w:r w:rsidR="00AB1D5E">
        <w:rPr>
          <w:rStyle w:val="fontstyle01"/>
          <w:rFonts w:hint="eastAsia"/>
          <w:sz w:val="28"/>
          <w:szCs w:val="28"/>
        </w:rPr>
        <w:t>i</w:t>
      </w:r>
      <w:r w:rsidR="00AB1D5E">
        <w:rPr>
          <w:rStyle w:val="fontstyle01"/>
          <w:sz w:val="28"/>
          <w:szCs w:val="28"/>
        </w:rPr>
        <w:t xml:space="preserve"> pošalju </w:t>
      </w:r>
      <w:proofErr w:type="gramStart"/>
      <w:r w:rsidR="00AB1D5E">
        <w:rPr>
          <w:rStyle w:val="fontstyle01"/>
          <w:sz w:val="28"/>
          <w:szCs w:val="28"/>
        </w:rPr>
        <w:t>na</w:t>
      </w:r>
      <w:proofErr w:type="gramEnd"/>
      <w:r w:rsidR="00AB1D5E">
        <w:rPr>
          <w:rStyle w:val="fontstyle01"/>
          <w:sz w:val="28"/>
          <w:szCs w:val="28"/>
        </w:rPr>
        <w:t xml:space="preserve"> email: </w:t>
      </w:r>
      <w:hyperlink r:id="rId4" w:history="1">
        <w:r w:rsidR="00AB1D5E" w:rsidRPr="00BD74D5">
          <w:rPr>
            <w:rStyle w:val="Hyperlink"/>
            <w:rFonts w:ascii="TimesNewRomanPSMT" w:hAnsi="TimesNewRomanPSMT"/>
            <w:sz w:val="28"/>
            <w:szCs w:val="28"/>
          </w:rPr>
          <w:t>it.tomic1@gmail.com</w:t>
        </w:r>
      </w:hyperlink>
      <w:r w:rsidR="00AB1D5E">
        <w:rPr>
          <w:rStyle w:val="fontstyle01"/>
          <w:sz w:val="28"/>
          <w:szCs w:val="28"/>
        </w:rPr>
        <w:t xml:space="preserve">. </w:t>
      </w:r>
      <w:proofErr w:type="gramStart"/>
      <w:r w:rsidR="00AB1D5E">
        <w:rPr>
          <w:rStyle w:val="fontstyle01"/>
          <w:sz w:val="28"/>
          <w:szCs w:val="28"/>
        </w:rPr>
        <w:t xml:space="preserve">Neka se jave </w:t>
      </w:r>
      <w:r w:rsidR="00AB1D5E">
        <w:rPr>
          <w:rStyle w:val="fontstyle01"/>
          <w:rFonts w:hint="eastAsia"/>
          <w:sz w:val="28"/>
          <w:szCs w:val="28"/>
        </w:rPr>
        <w:t>i</w:t>
      </w:r>
      <w:r w:rsidR="00AB1D5E">
        <w:rPr>
          <w:rStyle w:val="fontstyle01"/>
          <w:sz w:val="28"/>
          <w:szCs w:val="28"/>
        </w:rPr>
        <w:t xml:space="preserve"> oni koji zbog izolacije nisu radili test </w:t>
      </w:r>
      <w:r w:rsidR="00BE25E1">
        <w:rPr>
          <w:rStyle w:val="fontstyle01"/>
          <w:rFonts w:hint="eastAsia"/>
          <w:sz w:val="28"/>
          <w:szCs w:val="28"/>
        </w:rPr>
        <w:t>d</w:t>
      </w:r>
      <w:r w:rsidR="00AB1D5E">
        <w:rPr>
          <w:rStyle w:val="fontstyle01"/>
          <w:rFonts w:hint="eastAsia"/>
          <w:sz w:val="28"/>
          <w:szCs w:val="28"/>
        </w:rPr>
        <w:t>a</w:t>
      </w:r>
      <w:r w:rsidR="00BE25E1">
        <w:rPr>
          <w:rStyle w:val="fontstyle01"/>
          <w:sz w:val="28"/>
          <w:szCs w:val="28"/>
        </w:rPr>
        <w:t xml:space="preserve"> </w:t>
      </w:r>
      <w:r w:rsidR="00AB1D5E">
        <w:rPr>
          <w:rStyle w:val="fontstyle01"/>
          <w:rFonts w:hint="eastAsia"/>
          <w:sz w:val="28"/>
          <w:szCs w:val="28"/>
        </w:rPr>
        <w:t>im</w:t>
      </w:r>
      <w:r w:rsidR="00AB1D5E">
        <w:rPr>
          <w:rStyle w:val="fontstyle01"/>
          <w:sz w:val="28"/>
          <w:szCs w:val="28"/>
        </w:rPr>
        <w:t xml:space="preserve"> z</w:t>
      </w:r>
      <w:r w:rsidR="00BE25E1">
        <w:rPr>
          <w:rStyle w:val="fontstyle01"/>
          <w:sz w:val="28"/>
          <w:szCs w:val="28"/>
        </w:rPr>
        <w:t>a</w:t>
      </w:r>
      <w:r w:rsidR="00AB1D5E">
        <w:rPr>
          <w:rStyle w:val="fontstyle01"/>
          <w:sz w:val="28"/>
          <w:szCs w:val="28"/>
        </w:rPr>
        <w:t>dam neku temu da</w:t>
      </w:r>
      <w:r w:rsidR="00BE25E1">
        <w:rPr>
          <w:rStyle w:val="fontstyle01"/>
          <w:sz w:val="28"/>
          <w:szCs w:val="28"/>
        </w:rPr>
        <w:t xml:space="preserve"> obrade u obliku prezentacije.</w:t>
      </w:r>
      <w:proofErr w:type="gramEnd"/>
      <w:r w:rsidR="00AB1D5E">
        <w:rPr>
          <w:rStyle w:val="fontstyle01"/>
          <w:sz w:val="28"/>
          <w:szCs w:val="28"/>
        </w:rPr>
        <w:br/>
        <w:t xml:space="preserve">Nekome od vas ću poslati rezultate testa kada </w:t>
      </w:r>
      <w:proofErr w:type="gramStart"/>
      <w:r w:rsidR="00AB1D5E">
        <w:rPr>
          <w:rStyle w:val="fontstyle01"/>
          <w:sz w:val="28"/>
          <w:szCs w:val="28"/>
        </w:rPr>
        <w:t>pregledam ,</w:t>
      </w:r>
      <w:proofErr w:type="gramEnd"/>
      <w:r w:rsidR="00AB1D5E">
        <w:rPr>
          <w:rStyle w:val="fontstyle01"/>
          <w:sz w:val="28"/>
          <w:szCs w:val="28"/>
        </w:rPr>
        <w:t xml:space="preserve"> a on će proslediti ostalima. Pozdrav</w:t>
      </w:r>
    </w:p>
    <w:p w:rsidR="003111AF" w:rsidRPr="00F51921" w:rsidRDefault="003111AF">
      <w:pPr>
        <w:rPr>
          <w:rStyle w:val="fontstyle01"/>
          <w:color w:val="00B0F0"/>
          <w:sz w:val="32"/>
          <w:szCs w:val="32"/>
        </w:rPr>
      </w:pPr>
      <w:r w:rsidRPr="00F51921">
        <w:rPr>
          <w:rStyle w:val="fontstyle01"/>
          <w:color w:val="00B0F0"/>
          <w:sz w:val="32"/>
          <w:szCs w:val="32"/>
        </w:rPr>
        <w:t>SEKUNDARNE MEMORIJE</w:t>
      </w:r>
    </w:p>
    <w:p w:rsidR="00A315DE" w:rsidRDefault="003111AF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proofErr w:type="gramStart"/>
      <w:r>
        <w:rPr>
          <w:rStyle w:val="fontstyle01"/>
        </w:rPr>
        <w:t>Kod najvećeg broja savremenih računarskih sistema, fizički kapacitet instalirane glavne memorije nije tako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veliki kao adresni prostor koji se može ostvariti dekodiranjem svih adresa CPU-a.</w:t>
      </w:r>
      <w:proofErr w:type="gram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Kada program ne može u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potpunosti da se smesti u glavnu memoriju, deo koji se u tom trenutku ne izvršava se smešta u sekundarnu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memoriju kao što je disk.</w:t>
      </w:r>
      <w:proofErr w:type="gram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Naravno, svi delovi programa koji se izvršavaju moraju biti smešteni u glavnoj memoriji.</w:t>
      </w:r>
      <w:proofErr w:type="gramEnd"/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 xml:space="preserve">Kada neki </w:t>
      </w:r>
      <w:proofErr w:type="gramStart"/>
      <w:r>
        <w:rPr>
          <w:rStyle w:val="fontstyle01"/>
        </w:rPr>
        <w:t>novi</w:t>
      </w:r>
      <w:proofErr w:type="gramEnd"/>
      <w:r>
        <w:rPr>
          <w:rStyle w:val="fontstyle01"/>
        </w:rPr>
        <w:t xml:space="preserve"> segment programa treba da se kopira u kompletno popunjenu glavnu memoriju, on mora da se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 xml:space="preserve">zameni drugim segmentom koji se već nalazi u glavnoj memoriji. </w:t>
      </w:r>
      <w:proofErr w:type="gramStart"/>
      <w:r>
        <w:rPr>
          <w:rStyle w:val="fontstyle01"/>
        </w:rPr>
        <w:t>Savremeni računari mogu upravljati ovakvim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tipovima operacija automatski, tako da programer nije svestan svih detalja.</w:t>
      </w:r>
      <w:proofErr w:type="gram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Tehnike upravljanja memorijom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izučavaće se kasnije.</w:t>
      </w:r>
      <w:proofErr w:type="gramEnd"/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 xml:space="preserve">Sekundarne memorije se koriste za čuvanje skupova podataka znatno većeg obima u odnosu </w:t>
      </w:r>
      <w:proofErr w:type="gramStart"/>
      <w:r>
        <w:rPr>
          <w:rStyle w:val="fontstyle01"/>
        </w:rPr>
        <w:t>na</w:t>
      </w:r>
      <w:proofErr w:type="gramEnd"/>
      <w:r>
        <w:rPr>
          <w:rStyle w:val="fontstyle01"/>
        </w:rPr>
        <w:t xml:space="preserve"> one koji se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mogu čuvati u glavnoj memoriji.</w:t>
      </w:r>
      <w:r>
        <w:rPr>
          <w:rStyle w:val="fontstyle01"/>
        </w:rPr>
        <w:br/>
      </w:r>
      <w:r w:rsidRPr="003111AF">
        <w:rPr>
          <w:rFonts w:ascii="TimesNewRomanPS-BoldMT" w:hAnsi="TimesNewRomanPS-BoldMT"/>
          <w:b/>
          <w:bCs/>
          <w:color w:val="000000"/>
          <w:sz w:val="24"/>
          <w:szCs w:val="24"/>
        </w:rPr>
        <w:t>Uređaji za masovno memorisanje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>
        <w:rPr>
          <w:rStyle w:val="fontstyle01"/>
        </w:rPr>
        <w:t xml:space="preserve">Već smo se do sada upoznali </w:t>
      </w:r>
      <w:proofErr w:type="gramStart"/>
      <w:r>
        <w:rPr>
          <w:rStyle w:val="fontstyle01"/>
        </w:rPr>
        <w:t>sa</w:t>
      </w:r>
      <w:proofErr w:type="gramEnd"/>
      <w:r>
        <w:rPr>
          <w:rStyle w:val="fontstyle01"/>
        </w:rPr>
        <w:t xml:space="preserve"> poluprovodničkim memorijama tipa RAM, ROM, EPROM i EEPROM.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gramStart"/>
      <w:r>
        <w:rPr>
          <w:rStyle w:val="fontstyle01"/>
        </w:rPr>
        <w:t>Svi ovi memorijski sklopovi adresiraju se direktno, tj.</w:t>
      </w:r>
      <w:proofErr w:type="gram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bilo</w:t>
      </w:r>
      <w:proofErr w:type="gramEnd"/>
      <w:r>
        <w:rPr>
          <w:rStyle w:val="fontstyle01"/>
        </w:rPr>
        <w:t xml:space="preserve"> koja lokacija se može birati (selektovati) na osnovu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 xml:space="preserve">odgovarajuće adrese. Zovu se često memorije </w:t>
      </w:r>
      <w:proofErr w:type="gramStart"/>
      <w:r>
        <w:rPr>
          <w:rStyle w:val="fontstyle01"/>
        </w:rPr>
        <w:t>sa</w:t>
      </w:r>
      <w:proofErr w:type="gramEnd"/>
      <w:r>
        <w:rPr>
          <w:rStyle w:val="fontstyle01"/>
        </w:rPr>
        <w:t xml:space="preserve"> proizvoljnim pristupom, a od njih se organizuje glavna ili radna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>memorija.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Sa druge strane, uređaji za masovno memorisanje se razlikuju od glavne memorije u sledećim aspektima</w:t>
      </w:r>
      <w:proofErr w:type="gramStart"/>
      <w:r>
        <w:rPr>
          <w:rStyle w:val="fontstyle01"/>
        </w:rPr>
        <w:t>:</w:t>
      </w:r>
      <w:proofErr w:type="gramEnd"/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• </w:t>
      </w:r>
      <w:r>
        <w:rPr>
          <w:rStyle w:val="fontstyle01"/>
        </w:rPr>
        <w:t>nisu direktno adresibilni,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• </w:t>
      </w:r>
      <w:r>
        <w:rPr>
          <w:rStyle w:val="fontstyle01"/>
        </w:rPr>
        <w:t>niža im je cena po bitu,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• </w:t>
      </w:r>
      <w:r>
        <w:rPr>
          <w:rStyle w:val="fontstyle01"/>
        </w:rPr>
        <w:t>nakon isključenja napajanja ne gube informaciju,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• </w:t>
      </w:r>
      <w:r>
        <w:rPr>
          <w:rStyle w:val="fontstyle01"/>
        </w:rPr>
        <w:t>imaju relativno spori pristup.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Drugim rečima, glavna memorija je namenjena za smeštaj podataka i programa koje se aktivno koriste (sve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 xml:space="preserve">lokacije moraju biti direktno adresibilne), </w:t>
      </w:r>
      <w:proofErr w:type="gramStart"/>
      <w:r>
        <w:rPr>
          <w:rStyle w:val="fontstyle01"/>
        </w:rPr>
        <w:t>a</w:t>
      </w:r>
      <w:proofErr w:type="gramEnd"/>
      <w:r>
        <w:rPr>
          <w:rStyle w:val="fontstyle01"/>
        </w:rPr>
        <w:t xml:space="preserve"> uređaji za masovno memorisanje se koriste za smeštaj programa i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 xml:space="preserve">podataka koji se aktivno ne koriste u tom trenutku. Uređaj za masovno memorisanje može koristiti magnetni </w:t>
      </w:r>
      <w:proofErr w:type="gramStart"/>
      <w:r>
        <w:rPr>
          <w:rStyle w:val="fontstyle01"/>
        </w:rPr>
        <w:t>ili</w:t>
      </w:r>
      <w:proofErr w:type="gramEnd"/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>optički sistem zapisa.</w:t>
      </w:r>
      <w:r>
        <w:rPr>
          <w:rStyle w:val="fontstyle01"/>
        </w:rPr>
        <w:br/>
      </w:r>
      <w:r w:rsidRPr="003111AF">
        <w:rPr>
          <w:rFonts w:ascii="TimesNewRomanPS-BoldMT" w:hAnsi="TimesNewRomanPS-BoldMT"/>
          <w:b/>
          <w:bCs/>
          <w:color w:val="000000"/>
          <w:sz w:val="24"/>
          <w:szCs w:val="24"/>
        </w:rPr>
        <w:t>Principi magnetnog zapisa</w:t>
      </w:r>
    </w:p>
    <w:p w:rsidR="00F51921" w:rsidRDefault="003111AF">
      <w:pPr>
        <w:rPr>
          <w:rFonts w:ascii="TimesNewRomanPSMT" w:hAnsi="TimesNewRomanPSMT"/>
          <w:color w:val="000000"/>
          <w:sz w:val="20"/>
        </w:rPr>
      </w:pPr>
      <w:proofErr w:type="gramStart"/>
      <w:r w:rsidRPr="003111AF">
        <w:rPr>
          <w:rFonts w:ascii="TimesNewRomanPSMT" w:hAnsi="TimesNewRomanPSMT"/>
          <w:color w:val="000000"/>
          <w:sz w:val="20"/>
        </w:rPr>
        <w:t>Magnetni zapis je najčešće korišćena tehnologija kod masovnih memorija.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Osnovni princip rada sastoji se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u sledećem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:</w:t>
      </w:r>
      <w:proofErr w:type="gramEnd"/>
      <w:r w:rsidRPr="003111AF">
        <w:rPr>
          <w:rFonts w:ascii="TimesNewRomanPSMT" w:hAnsi="TimesNewRomanPSMT"/>
          <w:color w:val="000000"/>
          <w:sz w:val="20"/>
          <w:szCs w:val="20"/>
        </w:rPr>
        <w:br/>
      </w:r>
      <w:r w:rsidRPr="003111AF">
        <w:rPr>
          <w:rFonts w:ascii="TimesNewRomanPSMT" w:hAnsi="TimesNewRomanPSMT"/>
          <w:color w:val="000000"/>
          <w:sz w:val="20"/>
        </w:rPr>
        <w:t>a) Elektromagnet može namagnetisati feritni materijal (žica) koji se pomera ispod njega (princip upisa).</w:t>
      </w:r>
      <w:r w:rsidRPr="003111AF">
        <w:rPr>
          <w:rFonts w:ascii="TimesNewRomanPSMT" w:hAnsi="TimesNewRomanPSMT"/>
          <w:color w:val="000000"/>
          <w:sz w:val="20"/>
          <w:szCs w:val="20"/>
        </w:rPr>
        <w:br/>
      </w:r>
      <w:r w:rsidRPr="003111AF">
        <w:rPr>
          <w:rFonts w:ascii="TimesNewRomanPSMT" w:hAnsi="TimesNewRomanPSMT"/>
          <w:color w:val="000000"/>
          <w:sz w:val="20"/>
        </w:rPr>
        <w:t xml:space="preserve">b) Kada se namagnetisani materijal (žica) pomera ispod nepobuđenog kalema, indukuje se napon u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kalemu</w:t>
      </w:r>
      <w:proofErr w:type="gramEnd"/>
      <w:r w:rsidRPr="003111AF">
        <w:rPr>
          <w:rFonts w:ascii="TimesNewRomanPSMT" w:hAnsi="TimesNewRomanPSMT"/>
          <w:color w:val="000000"/>
          <w:sz w:val="20"/>
          <w:szCs w:val="20"/>
        </w:rPr>
        <w:br/>
      </w:r>
      <w:r w:rsidRPr="003111AF">
        <w:rPr>
          <w:rFonts w:ascii="TimesNewRomanPSMT" w:hAnsi="TimesNewRomanPSMT"/>
          <w:color w:val="000000"/>
          <w:sz w:val="20"/>
        </w:rPr>
        <w:t>(princip čitanja).</w:t>
      </w:r>
      <w:r w:rsidRPr="003111AF">
        <w:rPr>
          <w:rFonts w:ascii="TimesNewRomanPSMT" w:hAnsi="TimesNewRomanPSMT"/>
          <w:color w:val="000000"/>
          <w:sz w:val="20"/>
          <w:szCs w:val="20"/>
        </w:rPr>
        <w:br/>
      </w:r>
      <w:r w:rsidRPr="003111AF">
        <w:rPr>
          <w:rFonts w:ascii="TimesNewRomanPSMT" w:hAnsi="TimesNewRomanPSMT"/>
          <w:color w:val="000000"/>
          <w:sz w:val="20"/>
        </w:rPr>
        <w:t xml:space="preserve">Čelična žica koja je prvobitno bila korišćena kao feritni matertijal kasnije je zamenjena trakom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koju je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nanet prah Fe</w:t>
      </w:r>
      <w:r w:rsidRPr="003111AF">
        <w:rPr>
          <w:rFonts w:ascii="TimesNewRomanPSMT" w:hAnsi="TimesNewRomanPSMT"/>
          <w:color w:val="000000"/>
          <w:sz w:val="14"/>
        </w:rPr>
        <w:t>2</w:t>
      </w:r>
      <w:r w:rsidRPr="003111AF">
        <w:rPr>
          <w:rFonts w:ascii="TimesNewRomanPSMT" w:hAnsi="TimesNewRomanPSMT"/>
          <w:color w:val="000000"/>
          <w:sz w:val="20"/>
        </w:rPr>
        <w:t>O</w:t>
      </w:r>
      <w:r w:rsidRPr="003111AF">
        <w:rPr>
          <w:rFonts w:ascii="TimesNewRomanPSMT" w:hAnsi="TimesNewRomanPSMT"/>
          <w:color w:val="000000"/>
          <w:sz w:val="14"/>
        </w:rPr>
        <w:t>3</w:t>
      </w:r>
      <w:r w:rsidRPr="003111AF">
        <w:rPr>
          <w:rFonts w:ascii="TimesNewRomanPSMT" w:hAnsi="TimesNewRomanPSMT"/>
          <w:color w:val="000000"/>
          <w:sz w:val="20"/>
        </w:rPr>
        <w:t xml:space="preserve">. Glava za čitanje/upis je u osnovi elektromagnet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sa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jako fokusiranim magnetnim poljem.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 slici 4.1 prikazana je struktura glave za čitanje/upis, nazvana kružna glava.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Ona se sastoji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od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feritnog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 xml:space="preserve">prstena sa malim procepom u blizini površine zapisa.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Svaka strana procepa je efektivno jedan pol magneta.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U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malom procepu javlja se jako koncentrisano polje.</w:t>
      </w:r>
      <w:proofErr w:type="gramEnd"/>
      <w:r w:rsidRPr="003111AF">
        <w:rPr>
          <w:rFonts w:ascii="TimesNewRomanPSMT" w:hAnsi="TimesNewRomanPSMT"/>
          <w:color w:val="000000"/>
          <w:sz w:val="20"/>
          <w:szCs w:val="20"/>
        </w:rPr>
        <w:br/>
      </w:r>
      <w:r w:rsidRPr="003111AF">
        <w:rPr>
          <w:rFonts w:ascii="TimesNewRomanPSMT" w:hAnsi="TimesNewRomanPSMT"/>
          <w:color w:val="000000"/>
          <w:sz w:val="20"/>
        </w:rPr>
        <w:t>Da bi se jednostavnije analizirao proces zapisa usvojićemo da feritno-oksidni materijal čini veliki broj (oko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 xml:space="preserve">1 000 000) tankih magneta u obliku štapića,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ili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dipola, koji su proizvoljno orijentisani. Zbog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te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proizvoljne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orijentacije elektromagnetno polje je jednako nuli. Kada se dipoli dovedu u blizinu elektromagnetnog polja oni se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 xml:space="preserve">usmeravaju pod njegovim uticajem.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Kada uticaj polja prestane neki dipoli se ponovo proizvoljno usmeravaju, a neki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zadržavaju usmerenost koju su dobili pod uticajem polja.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 taj način materijal postaje namagnetisan.</w:t>
      </w:r>
      <w:proofErr w:type="gramEnd"/>
      <w:r w:rsidRPr="003111AF">
        <w:rPr>
          <w:rFonts w:ascii="TimesNewRomanPSMT" w:hAnsi="TimesNewRomanPSMT"/>
          <w:color w:val="000000"/>
          <w:sz w:val="20"/>
          <w:szCs w:val="20"/>
        </w:rPr>
        <w:br/>
      </w:r>
      <w:r w:rsidRPr="003111AF">
        <w:rPr>
          <w:rFonts w:ascii="TimesNewRomanPSMT" w:hAnsi="TimesNewRomanPSMT"/>
          <w:color w:val="000000"/>
          <w:sz w:val="20"/>
        </w:rPr>
        <w:t xml:space="preserve">Male oblasti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magnetnom medijumu, nazvane domeni, mogu se nezavisno namagnetisati od susednih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 xml:space="preserve">oblasti. Svaki domen može da ima suprotan polaritet u odnosu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susedni domen. Promena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od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jednog domena na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drugi, koji ima suprotnu magnetnu polarizaciju, zove se obrtanje fluksa (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>flux reversal</w:t>
      </w:r>
      <w:r w:rsidRPr="003111AF">
        <w:rPr>
          <w:rFonts w:ascii="TimesNewRomanPSMT" w:hAnsi="TimesNewRomanPSMT"/>
          <w:color w:val="000000"/>
          <w:sz w:val="20"/>
        </w:rPr>
        <w:t xml:space="preserve">). Gustina zapisa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disku ili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traci se izražava kao obrtanje fluksa po inču (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 xml:space="preserve">flux reversal per inch </w:t>
      </w:r>
      <w:r w:rsidRPr="003111AF">
        <w:rPr>
          <w:rFonts w:ascii="TimesNewRomanPSMT" w:hAnsi="TimesNewRomanPSMT"/>
          <w:color w:val="000000"/>
          <w:sz w:val="20"/>
        </w:rPr>
        <w:t xml:space="preserve">- </w:t>
      </w:r>
      <w:r w:rsidRPr="003111AF">
        <w:rPr>
          <w:rFonts w:ascii="TimesNewRomanPSMT" w:hAnsi="TimesNewRomanPSMT"/>
          <w:color w:val="000000"/>
          <w:sz w:val="20"/>
        </w:rPr>
        <w:lastRenderedPageBreak/>
        <w:t>frpi), što se često naziva promena fluksa po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inču (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 xml:space="preserve">flux change per inch </w:t>
      </w:r>
      <w:r w:rsidRPr="003111AF">
        <w:rPr>
          <w:rFonts w:ascii="TimesNewRomanPSMT" w:hAnsi="TimesNewRomanPSMT"/>
          <w:color w:val="000000"/>
          <w:sz w:val="20"/>
        </w:rPr>
        <w:t>- fci).</w:t>
      </w:r>
      <w:r>
        <w:rPr>
          <w:rFonts w:ascii="TimesNewRomanPSMT" w:hAnsi="TimesNewRomanPSMT"/>
          <w:color w:val="000000"/>
          <w:sz w:val="20"/>
        </w:rPr>
        <w:br/>
      </w:r>
      <w:r>
        <w:rPr>
          <w:noProof/>
        </w:rPr>
        <w:drawing>
          <wp:inline distT="0" distB="0" distL="0" distR="0">
            <wp:extent cx="3075783" cy="23477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51" cy="234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921" w:rsidRDefault="00F51921">
      <w:pPr>
        <w:rPr>
          <w:rFonts w:ascii="TimesNewRomanPSMT" w:hAnsi="TimesNewRomanPSMT"/>
          <w:color w:val="000000"/>
          <w:sz w:val="20"/>
        </w:rPr>
      </w:pPr>
    </w:p>
    <w:p w:rsidR="00F51921" w:rsidRDefault="00F51921">
      <w:pPr>
        <w:rPr>
          <w:rFonts w:ascii="TimesNewRomanPSMT" w:hAnsi="TimesNewRomanPSMT"/>
          <w:color w:val="000000"/>
          <w:sz w:val="20"/>
        </w:rPr>
      </w:pPr>
    </w:p>
    <w:p w:rsidR="00F51921" w:rsidRDefault="00F51921">
      <w:pPr>
        <w:rPr>
          <w:rFonts w:ascii="TimesNewRomanPSMT" w:hAnsi="TimesNewRomanPSMT"/>
          <w:color w:val="000000"/>
          <w:sz w:val="20"/>
        </w:rPr>
      </w:pPr>
    </w:p>
    <w:p w:rsidR="00F51921" w:rsidRDefault="00995F02">
      <w:pPr>
        <w:rPr>
          <w:rStyle w:val="fontstyle01"/>
        </w:rPr>
      </w:pPr>
      <w:r w:rsidRPr="00995F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05pt;margin-top:-41.95pt;width:302.95pt;height:214.7pt;z-index:251658240" stroked="f">
            <v:textbox>
              <w:txbxContent>
                <w:p w:rsidR="003111AF" w:rsidRDefault="003111AF">
                  <w:proofErr w:type="gramStart"/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>Najprostija i najefikasnija tehnika je NRZ (</w:t>
                  </w:r>
                  <w:r w:rsidRPr="003111AF">
                    <w:rPr>
                      <w:rFonts w:ascii="TimesNewRomanPS-ItalicMT" w:hAnsi="TimesNewRomanPS-ItalicMT"/>
                      <w:i/>
                      <w:iCs/>
                      <w:color w:val="000000"/>
                      <w:sz w:val="20"/>
                    </w:rPr>
                    <w:t>No Return to Zero</w:t>
                  </w:r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>), koja se koristi za serijski prenos podataka.</w:t>
                  </w:r>
                  <w:proofErr w:type="gramEnd"/>
                  <w:r w:rsidRPr="003111AF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br/>
                  </w:r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>Na žalost, NRZ nije samotaktovana; signal može biti na visoko ili nisko za proizvoljan vremenski period, čime se</w:t>
                  </w:r>
                  <w:r w:rsidRPr="003111AF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br/>
                  </w:r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>čini tehnički nemogućim izdvajanje takta iz podataka, pa se zbog toga NRZ ne koristi kod magnetnog zapisa. Kod</w:t>
                  </w:r>
                  <w:r w:rsidRPr="003111AF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br/>
                  </w:r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>NRZI (</w:t>
                  </w:r>
                  <w:r w:rsidRPr="003111AF">
                    <w:rPr>
                      <w:rFonts w:ascii="TimesNewRomanPS-ItalicMT" w:hAnsi="TimesNewRomanPS-ItalicMT"/>
                      <w:i/>
                      <w:iCs/>
                      <w:color w:val="000000"/>
                      <w:sz w:val="20"/>
                    </w:rPr>
                    <w:t>No Return to Zero Invert</w:t>
                  </w:r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 xml:space="preserve">) podaci se kodiraju </w:t>
                  </w:r>
                  <w:proofErr w:type="gramStart"/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>na</w:t>
                  </w:r>
                  <w:proofErr w:type="gramEnd"/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 xml:space="preserve"> taj način što se generiše promena fluksa za svaki bit koji ima</w:t>
                  </w:r>
                  <w:r w:rsidRPr="003111AF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br/>
                  </w:r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 xml:space="preserve">vrednost 1, a ne generišu se promene za svaki bit koji ima vrednost 0. </w:t>
                  </w:r>
                  <w:proofErr w:type="gramStart"/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>Ovaj kod je samotaktovan samo ako ne sadrži</w:t>
                  </w:r>
                  <w:r w:rsidRPr="003111AF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br/>
                  </w:r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>dugi niz nula.</w:t>
                  </w:r>
                  <w:proofErr w:type="gramEnd"/>
                  <w:r w:rsidRPr="003111AF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>PE (</w:t>
                  </w:r>
                  <w:r w:rsidRPr="003111AF">
                    <w:rPr>
                      <w:rFonts w:ascii="TimesNewRomanPS-ItalicMT" w:hAnsi="TimesNewRomanPS-ItalicMT"/>
                      <w:i/>
                      <w:iCs/>
                      <w:color w:val="000000"/>
                      <w:sz w:val="20"/>
                    </w:rPr>
                    <w:t>Phase Encoding</w:t>
                  </w:r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>) je jednostavan samotaktovani metod kodiranja.</w:t>
                  </w:r>
                  <w:proofErr w:type="gramEnd"/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 xml:space="preserve"> Promena fluksa postoji u sredini</w:t>
                  </w:r>
                  <w:r w:rsidRPr="003111AF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br/>
                  </w:r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 xml:space="preserve">svake bitske ćelije, a smer promene fluksa ukazuje da li je podatak 1 </w:t>
                  </w:r>
                  <w:proofErr w:type="gramStart"/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>ili</w:t>
                  </w:r>
                  <w:proofErr w:type="gramEnd"/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 xml:space="preserve"> 0. </w:t>
                  </w:r>
                  <w:proofErr w:type="gramStart"/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>Metoda je neefikasna jer zahteva suviše</w:t>
                  </w:r>
                  <w:r w:rsidRPr="003111AF"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br/>
                  </w:r>
                  <w:r w:rsidRPr="003111AF">
                    <w:rPr>
                      <w:rFonts w:ascii="TimesNewRomanPSMT" w:hAnsi="TimesNewRomanPSMT"/>
                      <w:color w:val="000000"/>
                      <w:sz w:val="20"/>
                    </w:rPr>
                    <w:t>veliki broj fluks prelaza po bitu.</w:t>
                  </w:r>
                  <w:proofErr w:type="gramEnd"/>
                </w:p>
              </w:txbxContent>
            </v:textbox>
          </v:shape>
        </w:pict>
      </w:r>
      <w:r w:rsidR="003111AF">
        <w:rPr>
          <w:rFonts w:ascii="TimesNewRomanPSMT" w:hAnsi="TimesNewRomanPSMT"/>
          <w:noProof/>
          <w:color w:val="000000"/>
          <w:sz w:val="20"/>
        </w:rPr>
        <w:drawing>
          <wp:inline distT="0" distB="0" distL="0" distR="0">
            <wp:extent cx="3209900" cy="219950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503" cy="220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1AF">
        <w:rPr>
          <w:rFonts w:ascii="TimesNewRomanPSMT" w:hAnsi="TimesNewRomanPSMT"/>
          <w:color w:val="000000"/>
          <w:sz w:val="20"/>
        </w:rPr>
        <w:br/>
      </w:r>
    </w:p>
    <w:p w:rsidR="003111AF" w:rsidRDefault="003111AF">
      <w:pPr>
        <w:rPr>
          <w:rFonts w:ascii="TimesNewRomanPSMT" w:hAnsi="TimesNewRomanPSMT"/>
          <w:color w:val="000000"/>
          <w:sz w:val="20"/>
        </w:rPr>
      </w:pPr>
      <w:r>
        <w:rPr>
          <w:rStyle w:val="fontstyle01"/>
        </w:rPr>
        <w:t xml:space="preserve">Kod najvećeg broja sistema za zapis linije fluksa su paralelne u odnosu </w:t>
      </w:r>
      <w:proofErr w:type="gramStart"/>
      <w:r>
        <w:rPr>
          <w:rStyle w:val="fontstyle01"/>
        </w:rPr>
        <w:t>na</w:t>
      </w:r>
      <w:proofErr w:type="gramEnd"/>
      <w:r>
        <w:rPr>
          <w:rStyle w:val="fontstyle01"/>
        </w:rPr>
        <w:t xml:space="preserve"> smer kretanja, pa se ovaj format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 xml:space="preserve">zapisa zove longitudinalni zapis. Postoji takođe i vertikalni zapis, </w:t>
      </w:r>
      <w:proofErr w:type="gramStart"/>
      <w:r>
        <w:rPr>
          <w:rStyle w:val="fontstyle01"/>
        </w:rPr>
        <w:t>ali</w:t>
      </w:r>
      <w:proofErr w:type="gramEnd"/>
      <w:r>
        <w:rPr>
          <w:rStyle w:val="fontstyle01"/>
        </w:rPr>
        <w:t xml:space="preserve"> se on tehnički teže izvodi. Kod analognog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>zapisa (k</w:t>
      </w:r>
      <w:r w:rsidR="00F51921">
        <w:rPr>
          <w:rStyle w:val="fontstyle01"/>
        </w:rPr>
        <w:t xml:space="preserve">lasični magnetofoni) koristi se </w:t>
      </w:r>
      <w:r>
        <w:rPr>
          <w:rStyle w:val="fontstyle01"/>
        </w:rPr>
        <w:t>promenljiva jačina magnetnog polja za zapis analognog signala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 xml:space="preserve">(kontinualno promenljivi signal </w:t>
      </w:r>
      <w:proofErr w:type="gramStart"/>
      <w:r>
        <w:rPr>
          <w:rStyle w:val="fontstyle01"/>
        </w:rPr>
        <w:t>sa</w:t>
      </w:r>
      <w:proofErr w:type="gramEnd"/>
      <w:r>
        <w:rPr>
          <w:rStyle w:val="fontstyle01"/>
        </w:rPr>
        <w:t xml:space="preserve"> neograničenim brojem nivoa). Kod digitalnog zapisa, kakav se koristi u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 xml:space="preserve">računarstvu, primenjuje se zapis </w:t>
      </w:r>
      <w:proofErr w:type="gramStart"/>
      <w:r>
        <w:rPr>
          <w:rStyle w:val="fontstyle01"/>
        </w:rPr>
        <w:t>sa</w:t>
      </w:r>
      <w:proofErr w:type="gramEnd"/>
      <w:r>
        <w:rPr>
          <w:rStyle w:val="fontstyle01"/>
        </w:rPr>
        <w:t xml:space="preserve"> zasićenjem. Svaki domen se namagnetiše, što je moguće više, </w:t>
      </w:r>
      <w:proofErr w:type="gramStart"/>
      <w:r>
        <w:rPr>
          <w:rStyle w:val="fontstyle01"/>
        </w:rPr>
        <w:t>na</w:t>
      </w:r>
      <w:proofErr w:type="gramEnd"/>
      <w:r>
        <w:rPr>
          <w:rStyle w:val="fontstyle01"/>
        </w:rPr>
        <w:t xml:space="preserve"> jedan polaritet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 xml:space="preserve">ili drugi. Ovakav princip zapisa zahteva veće brzine </w:t>
      </w:r>
      <w:proofErr w:type="gramStart"/>
      <w:r>
        <w:rPr>
          <w:rStyle w:val="fontstyle01"/>
        </w:rPr>
        <w:t>ali</w:t>
      </w:r>
      <w:proofErr w:type="gramEnd"/>
      <w:r>
        <w:rPr>
          <w:rStyle w:val="fontstyle01"/>
        </w:rPr>
        <w:t xml:space="preserve"> se odlikuje većom imunošću na smetnje.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F51921">
        <w:rPr>
          <w:rStyle w:val="fontstyle01"/>
        </w:rPr>
        <w:t xml:space="preserve">Na slici 4.2 </w:t>
      </w:r>
      <w:r>
        <w:rPr>
          <w:rStyle w:val="fontstyle01"/>
        </w:rPr>
        <w:t>prikazan je odnos između signala za upis, obrtanja fluksa i signala čitanja kod sistema koji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 xml:space="preserve">koriste zapis </w:t>
      </w:r>
      <w:proofErr w:type="gramStart"/>
      <w:r>
        <w:rPr>
          <w:rStyle w:val="fontstyle01"/>
        </w:rPr>
        <w:t>sa</w:t>
      </w:r>
      <w:proofErr w:type="gramEnd"/>
      <w:r>
        <w:rPr>
          <w:rStyle w:val="fontstyle01"/>
        </w:rPr>
        <w:t xml:space="preserve"> zasićenjem.</w:t>
      </w:r>
      <w:r>
        <w:rPr>
          <w:rStyle w:val="fontstyle01"/>
        </w:rPr>
        <w:br/>
      </w:r>
      <w:r w:rsidRPr="003111AF">
        <w:rPr>
          <w:rFonts w:ascii="TimesNewRomanPS-BoldItalicMT" w:hAnsi="TimesNewRomanPS-BoldItalicMT"/>
          <w:b/>
          <w:bCs/>
          <w:i/>
          <w:iCs/>
          <w:color w:val="000000"/>
        </w:rPr>
        <w:t>Kodiranje podataka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 w:rsidRPr="003111AF">
        <w:rPr>
          <w:rFonts w:ascii="TimesNewRomanPSMT" w:hAnsi="TimesNewRomanPSMT"/>
          <w:color w:val="000000"/>
          <w:sz w:val="20"/>
        </w:rPr>
        <w:t xml:space="preserve">Podaci se kodiraju (šifriraju) u promene fluksa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veći broj načina. Problem je sličan serijskom prenosu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 xml:space="preserve">podataka; serijski niz bitova se mora upisati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takav način da se bit pozicije mogu lako odrediti kada se podatak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čita (neki sistemi zapisa koje srećemo kod velikih računara koriste paralelni zapis, sa jednim kanalom zapisa po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bitu. Gustina podataka se meri u bitovima po inču (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 xml:space="preserve">bits per inch </w:t>
      </w:r>
      <w:r w:rsidRPr="003111AF">
        <w:rPr>
          <w:rFonts w:ascii="TimesNewRomanPSMT" w:hAnsi="TimesNewRomanPSMT"/>
          <w:color w:val="000000"/>
          <w:sz w:val="20"/>
        </w:rPr>
        <w:t xml:space="preserve">- bits/in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ili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bpi).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Postoje dva konfliktna zahteva kod kodiranja podataka za magnetni zapis.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Prvi, poželjno je kodirati što je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moguće veći broj bitova podataka za dati broj promena fluksa.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Drugi, kodirani podaci moraju biti samotaktovani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(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>self-clocking</w:t>
      </w:r>
      <w:r w:rsidRPr="003111AF">
        <w:rPr>
          <w:rFonts w:ascii="TimesNewRomanPSMT" w:hAnsi="TimesNewRomanPSMT"/>
          <w:color w:val="000000"/>
          <w:sz w:val="20"/>
        </w:rPr>
        <w:t>) tako da kolo za čitanje može da odredi lokaciju svakog bita.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Ako rastojanja između promene fluksa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 xml:space="preserve">nisu tako velika, tada se pomoću specijalnog elektronskog sklopa (PPL - 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>Phase Lock Loop</w:t>
      </w:r>
      <w:r w:rsidRPr="003111AF">
        <w:rPr>
          <w:rFonts w:ascii="TimesNewRomanPSMT" w:hAnsi="TimesNewRomanPSMT"/>
          <w:color w:val="000000"/>
          <w:sz w:val="20"/>
        </w:rPr>
        <w:t>) može izdvojiti bitska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brzina iz kodirane povorke podataka.</w:t>
      </w:r>
      <w:proofErr w:type="gramEnd"/>
      <w:r w:rsidRPr="003111AF">
        <w:rPr>
          <w:rFonts w:ascii="TimesNewRomanPSMT" w:hAnsi="TimesNewRomanPSMT"/>
          <w:color w:val="000000"/>
          <w:sz w:val="20"/>
          <w:szCs w:val="20"/>
        </w:rPr>
        <w:br/>
      </w:r>
      <w:proofErr w:type="gramStart"/>
      <w:r w:rsidRPr="003111AF">
        <w:rPr>
          <w:rFonts w:ascii="TimesNewRomanPSMT" w:hAnsi="TimesNewRomanPSMT"/>
          <w:color w:val="000000"/>
          <w:sz w:val="20"/>
        </w:rPr>
        <w:t>Na slici 4.3 prikazano je nekoliko mogućih metoda kodiranja.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Kod svih metoda, za kodiranje svakog bita,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koristi se jedinica nazvana bitska ćelija.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Bitska ćelija je jedinica prostora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površini magnetnog medijuma ipredstavlja jedinicu vremena u odnosu na signale za </w:t>
      </w:r>
      <w:r w:rsidRPr="003111AF">
        <w:rPr>
          <w:rFonts w:ascii="TimesNewRomanPSMT" w:hAnsi="TimesNewRomanPSMT"/>
          <w:color w:val="000000"/>
          <w:sz w:val="20"/>
        </w:rPr>
        <w:lastRenderedPageBreak/>
        <w:t>upis i čitanje.</w:t>
      </w:r>
      <w:r>
        <w:rPr>
          <w:rFonts w:ascii="TimesNewRomanPSMT" w:hAnsi="TimesNewRomanPSMT"/>
          <w:color w:val="000000"/>
          <w:sz w:val="20"/>
        </w:rPr>
        <w:br/>
      </w:r>
      <w:r>
        <w:rPr>
          <w:noProof/>
        </w:rPr>
        <w:drawing>
          <wp:inline distT="0" distB="0" distL="0" distR="0">
            <wp:extent cx="3682365" cy="34848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3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AF" w:rsidRDefault="003111AF">
      <w:pPr>
        <w:rPr>
          <w:rFonts w:ascii="TimesNewRomanPSMT" w:hAnsi="TimesNewRomanPSMT"/>
          <w:color w:val="000000"/>
          <w:sz w:val="20"/>
        </w:rPr>
      </w:pPr>
      <w:r w:rsidRPr="003111AF">
        <w:rPr>
          <w:rFonts w:ascii="TimesNewRomanPSMT" w:hAnsi="TimesNewRomanPSMT"/>
          <w:color w:val="000000"/>
          <w:sz w:val="20"/>
        </w:rPr>
        <w:t>GCR (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>Group Coded Recording</w:t>
      </w:r>
      <w:r w:rsidRPr="003111AF">
        <w:rPr>
          <w:rFonts w:ascii="TimesNewRomanPSMT" w:hAnsi="TimesNewRomanPSMT"/>
          <w:color w:val="000000"/>
          <w:sz w:val="20"/>
        </w:rPr>
        <w:t xml:space="preserve">) - NRZI tehnika se može modifikovati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samotaktovanu, kao što je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 xml:space="preserve">prikazano na slici 4.3, pomoću GCR tehnike. Prvo, svaka grupa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od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četiri bita se prevodi u 5-bitni kod.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Zbog toga seovaj kod zove 4/5 kod.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U Tabeli 4.1 je prikazana lista tabele prevođenja.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Prevođenjem se povećava broj bitova popodatku za 20%, tako da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prvi pogled to izgleda neekonomično. Ali, 5-bitni kod se definiše tako da se urezultantnoj povorci bitova garantuje pojava ne više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od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dve uzastopne nule.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 ovaj način GCR kodirani podaci semogu zapisivati korišćenjem NRZI, a takođe se garantuje samotaktovanje.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Nedostatak GCR-a je relativno jako</w:t>
      </w:r>
      <w:r w:rsidRPr="003111AF">
        <w:rPr>
          <w:rFonts w:ascii="TimesNewRomanPSMT" w:hAnsi="TimesNewRomanPSMT"/>
          <w:color w:val="000000"/>
          <w:sz w:val="20"/>
          <w:szCs w:val="20"/>
        </w:rPr>
        <w:br/>
      </w:r>
      <w:r w:rsidRPr="003111AF">
        <w:rPr>
          <w:rFonts w:ascii="TimesNewRomanPSMT" w:hAnsi="TimesNewRomanPSMT"/>
          <w:color w:val="000000"/>
          <w:sz w:val="20"/>
        </w:rPr>
        <w:t>izražena kompleksnost koderske i dekoderske logike.</w:t>
      </w:r>
      <w:r w:rsidRPr="003111AF">
        <w:rPr>
          <w:rStyle w:val="fontstyle01"/>
        </w:rPr>
        <w:t xml:space="preserve">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GCR se zove i RLL kod (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>Run-Length-Limited</w:t>
      </w:r>
      <w:r w:rsidRPr="003111AF">
        <w:rPr>
          <w:rFonts w:ascii="TimesNewRomanPSMT" w:hAnsi="TimesNewRomanPSMT"/>
          <w:color w:val="000000"/>
          <w:sz w:val="20"/>
        </w:rPr>
        <w:t>) s obzirom da on ograničava broj nula koje se mogu javiti upovorci.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Najčešće korišćeni kod iz ove grupe je RLL 2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,7</w:t>
      </w:r>
      <w:proofErr w:type="gramEnd"/>
      <w:r w:rsidRPr="003111AF">
        <w:rPr>
          <w:rFonts w:ascii="TimesNewRomanPSMT" w:hAnsi="TimesNewRomanPSMT"/>
          <w:color w:val="000000"/>
          <w:sz w:val="20"/>
        </w:rPr>
        <w:t>. Brojevi se odnose na minimalni i maksimalni broj nulakoje se mogu javiti u povorci; 2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,7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znači da broj uzastopnih nula između jedinica je minimalno 2 a maksimalno 7. Na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istom prostoru RLL 2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,7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kodom moguće je smestiti 60% više podataka nego na MFM</w:t>
      </w:r>
      <w:r w:rsidRPr="003111AF">
        <w:br/>
      </w:r>
      <w:r>
        <w:rPr>
          <w:noProof/>
        </w:rPr>
        <w:drawing>
          <wp:inline distT="0" distB="0" distL="0" distR="0">
            <wp:extent cx="4192905" cy="135953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/>
          <w:color w:val="000000"/>
          <w:sz w:val="20"/>
        </w:rPr>
        <w:br/>
      </w:r>
      <w:r w:rsidRPr="003111AF">
        <w:rPr>
          <w:rFonts w:ascii="TimesNewRomanPS-BoldItalicMT" w:hAnsi="TimesNewRomanPS-BoldItalicMT"/>
          <w:b/>
          <w:bCs/>
          <w:i/>
          <w:iCs/>
          <w:color w:val="000000"/>
        </w:rPr>
        <w:t>Formati zapisa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 w:rsidRPr="003111AF">
        <w:rPr>
          <w:rFonts w:ascii="TimesNewRomanPSMT" w:hAnsi="TimesNewRomanPSMT"/>
          <w:color w:val="000000"/>
          <w:sz w:val="20"/>
        </w:rPr>
        <w:t xml:space="preserve">Da bi se učinio mogućim pristup individualnim delovima magnetnog zapisa, podaci se dele u 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>sekcije</w:t>
      </w:r>
      <w:r w:rsidRPr="003111AF">
        <w:rPr>
          <w:rFonts w:ascii="TimesNewRomanPSMT" w:hAnsi="TimesNewRomanPSMT"/>
          <w:color w:val="000000"/>
          <w:sz w:val="20"/>
        </w:rPr>
        <w:t xml:space="preserve">.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Ove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 xml:space="preserve">sekcije, kada se govori o trakama, nazivamo 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>blokovima</w:t>
      </w:r>
      <w:r w:rsidRPr="003111AF">
        <w:rPr>
          <w:rFonts w:ascii="TimesNewRomanPSMT" w:hAnsi="TimesNewRomanPSMT"/>
          <w:color w:val="000000"/>
          <w:sz w:val="20"/>
        </w:rPr>
        <w:t xml:space="preserve">, a kada se govori o diskovima zovu se 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>sektori</w:t>
      </w:r>
      <w:r w:rsidRPr="003111AF">
        <w:rPr>
          <w:rFonts w:ascii="TimesNewRomanPSMT" w:hAnsi="TimesNewRomanPSMT"/>
          <w:color w:val="000000"/>
          <w:sz w:val="20"/>
        </w:rPr>
        <w:t>.Svaka sekcija počinje identifikacionim poljem (ID), a završava se kodom za detekciju greške (obično je to</w:t>
      </w:r>
      <w:r w:rsidR="00F51921">
        <w:rPr>
          <w:rFonts w:ascii="TimesNewRomanPSMT" w:hAnsi="TimesNewRomanPSMT"/>
          <w:color w:val="000000"/>
          <w:sz w:val="20"/>
        </w:rPr>
        <w:t xml:space="preserve"> 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 xml:space="preserve">Cyclic Redundancy Check </w:t>
      </w:r>
      <w:r w:rsidRPr="003111AF">
        <w:rPr>
          <w:rFonts w:ascii="TimesNewRomanPSMT" w:hAnsi="TimesNewRomanPSMT"/>
          <w:color w:val="000000"/>
          <w:sz w:val="20"/>
        </w:rPr>
        <w:t>- CRC).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Između sekcija postoje praznine (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>gap</w:t>
      </w:r>
      <w:r w:rsidRPr="003111AF">
        <w:rPr>
          <w:rFonts w:ascii="TimesNewRomanPSMT" w:hAnsi="TimesNewRomanPSMT"/>
          <w:color w:val="000000"/>
          <w:sz w:val="20"/>
        </w:rPr>
        <w:t xml:space="preserve">) koje su neophodne za njihovo razdvajanjekao i da omoguće da se jedna sekcija modifikuje a da nepostoji uticaj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susedne sekcije.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Ovakvo uređenje podataka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zove se format.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Ukupan broj bitova koji se može zapisati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medijumu se zove neformatirani kapacitet.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Iznos koji</w:t>
      </w:r>
      <w:r w:rsidRPr="003111AF">
        <w:rPr>
          <w:rFonts w:ascii="TimesNewRomanPSMT" w:hAnsi="TimesNewRomanPSMT"/>
          <w:color w:val="000000"/>
          <w:sz w:val="20"/>
          <w:szCs w:val="20"/>
        </w:rPr>
        <w:br/>
      </w:r>
      <w:r w:rsidRPr="003111AF">
        <w:rPr>
          <w:rFonts w:ascii="TimesNewRomanPSMT" w:hAnsi="TimesNewRomanPSMT"/>
          <w:color w:val="000000"/>
          <w:sz w:val="20"/>
        </w:rPr>
        <w:t>ostaje aktuelnim podacima (oduzimaju se gapovi, ID polja i CRC-ovi) predstavlja formatirani kapacitet.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Formatirani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kapacitet je broj koji je interesantan krajnjem korisniku, pošto je to iznos korisničkih podataka koji se mogu čuvati.</w:t>
      </w:r>
      <w:proofErr w:type="gramEnd"/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 xml:space="preserve">Kod najvećeg broja aplikacija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medijum za masovno memorisanje se smešta veliki broj datoteka (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>file</w:t>
      </w:r>
      <w:r w:rsidRPr="003111AF">
        <w:rPr>
          <w:rFonts w:ascii="TimesNewRomanPSMT" w:hAnsi="TimesNewRomanPSMT"/>
          <w:color w:val="000000"/>
          <w:sz w:val="20"/>
        </w:rPr>
        <w:t>).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Da bi se locirala datoteka neophodan je adresar (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>directory</w:t>
      </w:r>
      <w:r w:rsidRPr="003111AF">
        <w:rPr>
          <w:rFonts w:ascii="TimesNewRomanPSMT" w:hAnsi="TimesNewRomanPSMT"/>
          <w:color w:val="000000"/>
          <w:sz w:val="20"/>
        </w:rPr>
        <w:t>).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Adresar je oblast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početku trake (ili piste na disku)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koja sadrži listu svih datoteka i ukazuje na tačku na disku ili traci gde svaka datoteka počinje. Struktura adresara je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 xml:space="preserve">određena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od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strane operativnog sistemskog softvera (operativni sistem - OS). Deo diska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ili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trake se može koristiti za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 xml:space="preserve">čuvanje OS-a. Veliki broj sistema poseduje softver u ROM-u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ili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EPROM-u koji omogućava sistemu da pročita OS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sa diska nakon uključenja sistema na napajanje. Ova memorija se često zove bootstrap ROM (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 xml:space="preserve">boot </w:t>
      </w:r>
      <w:r w:rsidRPr="003111AF">
        <w:rPr>
          <w:rFonts w:ascii="TimesNewRomanPSMT" w:hAnsi="TimesNewRomanPSMT"/>
          <w:color w:val="000000"/>
          <w:sz w:val="20"/>
        </w:rPr>
        <w:t>ROM), a proces</w:t>
      </w:r>
      <w:r w:rsidRPr="003111AF">
        <w:rPr>
          <w:rFonts w:ascii="TimesNewRomanPSMT" w:hAnsi="TimesNewRomanPSMT"/>
          <w:color w:val="000000"/>
          <w:sz w:val="20"/>
          <w:szCs w:val="20"/>
        </w:rPr>
        <w:br/>
      </w:r>
      <w:r w:rsidRPr="003111AF">
        <w:rPr>
          <w:rFonts w:ascii="TimesNewRomanPSMT" w:hAnsi="TimesNewRomanPSMT"/>
          <w:color w:val="000000"/>
          <w:sz w:val="20"/>
        </w:rPr>
        <w:t xml:space="preserve">punjenja OS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sa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diska u glavnu memoriju računara se zove "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>booting</w:t>
      </w:r>
      <w:r w:rsidRPr="003111AF">
        <w:rPr>
          <w:rFonts w:ascii="TimesNewRomanPSMT" w:hAnsi="TimesNewRomanPSMT"/>
          <w:color w:val="000000"/>
          <w:sz w:val="20"/>
        </w:rPr>
        <w:t xml:space="preserve">" sistema. 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 xml:space="preserve">Boot </w:t>
      </w:r>
      <w:r w:rsidRPr="003111AF">
        <w:rPr>
          <w:rFonts w:ascii="TimesNewRomanPSMT" w:hAnsi="TimesNewRomanPSMT"/>
          <w:color w:val="000000"/>
          <w:sz w:val="20"/>
        </w:rPr>
        <w:t>ROM sadrži onoliko softvera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 xml:space="preserve">koliko je potrebno da </w:t>
      </w:r>
      <w:r w:rsidRPr="003111AF">
        <w:rPr>
          <w:rFonts w:ascii="TimesNewRomanPSMT" w:hAnsi="TimesNewRomanPSMT"/>
          <w:color w:val="000000"/>
          <w:sz w:val="20"/>
        </w:rPr>
        <w:lastRenderedPageBreak/>
        <w:t xml:space="preserve">se OS pročita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sa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diska. Obično je OS smešten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na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posebnim pistama na disku.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OS pruža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mogućnost da se obave opšte aktivnosti tipa čitanje/upis.</w:t>
      </w:r>
      <w:proofErr w:type="gramEnd"/>
      <w:r w:rsidRPr="003111AF">
        <w:rPr>
          <w:rFonts w:ascii="TimesNewRomanPSMT" w:hAnsi="TimesNewRomanPSMT"/>
          <w:color w:val="000000"/>
          <w:sz w:val="20"/>
        </w:rPr>
        <w:t xml:space="preserve"> U BIOS (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>Basic Input Output System</w:t>
      </w:r>
      <w:r w:rsidRPr="003111AF">
        <w:rPr>
          <w:rFonts w:ascii="TimesNewRomanPSMT" w:hAnsi="TimesNewRomanPSMT"/>
          <w:color w:val="000000"/>
          <w:sz w:val="20"/>
        </w:rPr>
        <w:t>) ROM-u se čuvaju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-ItalicMT" w:hAnsi="TimesNewRomanPS-ItalicMT"/>
          <w:i/>
          <w:iCs/>
          <w:color w:val="000000"/>
          <w:sz w:val="20"/>
        </w:rPr>
        <w:t xml:space="preserve">boot </w:t>
      </w:r>
      <w:r w:rsidRPr="003111AF">
        <w:rPr>
          <w:rFonts w:ascii="TimesNewRomanPSMT" w:hAnsi="TimesNewRomanPSMT"/>
          <w:color w:val="000000"/>
          <w:sz w:val="20"/>
        </w:rPr>
        <w:t xml:space="preserve">funkcije kao i skup potprograma pomoću kojih se ostvaruje standardni softverski interfejs (sprega) </w:t>
      </w:r>
      <w:proofErr w:type="gramStart"/>
      <w:r w:rsidRPr="003111AF">
        <w:rPr>
          <w:rFonts w:ascii="TimesNewRomanPSMT" w:hAnsi="TimesNewRomanPSMT"/>
          <w:color w:val="000000"/>
          <w:sz w:val="20"/>
        </w:rPr>
        <w:t>sa</w:t>
      </w:r>
      <w:proofErr w:type="gramEnd"/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111AF">
        <w:rPr>
          <w:rFonts w:ascii="TimesNewRomanPSMT" w:hAnsi="TimesNewRomanPSMT"/>
          <w:color w:val="000000"/>
          <w:sz w:val="20"/>
        </w:rPr>
        <w:t>sistemom.</w:t>
      </w:r>
    </w:p>
    <w:p w:rsidR="003111AF" w:rsidRDefault="003111AF">
      <w:pPr>
        <w:rPr>
          <w:rFonts w:ascii="TimesNewRomanPSMT" w:hAnsi="TimesNewRomanPSMT"/>
          <w:color w:val="000000"/>
          <w:sz w:val="20"/>
        </w:rPr>
      </w:pPr>
      <w:r w:rsidRPr="003111AF">
        <w:rPr>
          <w:rFonts w:ascii="TimesNewRomanPS-BoldMT" w:hAnsi="TimesNewRomanPS-BoldMT"/>
          <w:b/>
          <w:bCs/>
          <w:color w:val="000000"/>
          <w:sz w:val="24"/>
          <w:szCs w:val="24"/>
        </w:rPr>
        <w:t>Magnetni diskovi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proofErr w:type="gramStart"/>
      <w:r>
        <w:rPr>
          <w:rStyle w:val="fontstyle01"/>
        </w:rPr>
        <w:t>Sa</w:t>
      </w:r>
      <w:proofErr w:type="gramEnd"/>
      <w:r>
        <w:rPr>
          <w:rStyle w:val="fontstyle01"/>
        </w:rPr>
        <w:t xml:space="preserve"> kertridž drajvovima može se realizovati memorisanje velikog kapaciteta informacije na strimer traci uz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 xml:space="preserve">relativno skromnu cenu, ali kertridž drajvovi (strimer drajvovi) imaju jedan veoma ozbiljan nedostatak: veoma dugovreme pristupa. U najgorem slučaju, traka se mora premotati (unapred </w:t>
      </w:r>
      <w:proofErr w:type="gramStart"/>
      <w:r>
        <w:rPr>
          <w:rStyle w:val="fontstyle01"/>
        </w:rPr>
        <w:t>ili</w:t>
      </w:r>
      <w:proofErr w:type="gramEnd"/>
      <w:r>
        <w:rPr>
          <w:rStyle w:val="fontstyle01"/>
        </w:rPr>
        <w:t xml:space="preserve"> unazad) za skoro celu dužinu, da bi sepristupilo željenoj informaciji, što zahteva period od nekoliko minuta. </w:t>
      </w:r>
      <w:proofErr w:type="gramStart"/>
      <w:r>
        <w:rPr>
          <w:rStyle w:val="fontstyle01"/>
        </w:rPr>
        <w:t>Disk drajvove karakteriše znatno kraće vreme</w:t>
      </w:r>
      <w:r w:rsidR="00F51921">
        <w:rPr>
          <w:rStyle w:val="fontstyle01"/>
        </w:rPr>
        <w:t xml:space="preserve"> </w:t>
      </w:r>
      <w:r>
        <w:rPr>
          <w:rStyle w:val="fontstyle01"/>
        </w:rPr>
        <w:t>pristupa pa su zbog toga pogodniji kao uređaji za masovno memorisanje opšte namene, a strimer trake kao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>sekundarne memorije za dugotrajnije čuvanje informacije.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"</w:t>
      </w:r>
      <w:proofErr w:type="gramEnd"/>
      <w:r>
        <w:rPr>
          <w:rStyle w:val="fontstyle31"/>
        </w:rPr>
        <w:t>Hard</w:t>
      </w:r>
      <w:r>
        <w:rPr>
          <w:rStyle w:val="fontstyle01"/>
        </w:rPr>
        <w:t>" disk je ploča metala (</w:t>
      </w:r>
      <w:proofErr w:type="gramStart"/>
      <w:r>
        <w:rPr>
          <w:rStyle w:val="fontstyle01"/>
        </w:rPr>
        <w:t>ili</w:t>
      </w:r>
      <w:proofErr w:type="gramEnd"/>
      <w:r>
        <w:rPr>
          <w:rStyle w:val="fontstyle01"/>
        </w:rPr>
        <w:t xml:space="preserve"> substrata) od 5 do 10 inča u prečniku, na koju je nanesen magnetni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 xml:space="preserve">materijal, obično sa obe strane diska. S obzirom da su diskovi kruti, glavi za upis/čitanje se ne dozvoljava kontakt </w:t>
      </w:r>
      <w:proofErr w:type="gramStart"/>
      <w:r>
        <w:rPr>
          <w:rStyle w:val="fontstyle01"/>
        </w:rPr>
        <w:t>sa</w:t>
      </w:r>
      <w:proofErr w:type="gramEnd"/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>diskom u toku normalnog rada, jer može doći do katastrofalnih oštećenja (poznatih kao pad glave). Glava u suštini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 xml:space="preserve">lebdi iznad površine diska (obično </w:t>
      </w:r>
      <w:proofErr w:type="gramStart"/>
      <w:r>
        <w:rPr>
          <w:rStyle w:val="fontstyle01"/>
        </w:rPr>
        <w:t>na</w:t>
      </w:r>
      <w:proofErr w:type="gramEnd"/>
      <w:r>
        <w:rPr>
          <w:rStyle w:val="fontstyle01"/>
        </w:rPr>
        <w:t xml:space="preserve"> 10 mikroinča). </w:t>
      </w:r>
      <w:proofErr w:type="gramStart"/>
      <w:r>
        <w:rPr>
          <w:rStyle w:val="fontstyle01"/>
        </w:rPr>
        <w:t>Ovo zahteva da okolina, u kojoj disk radi, bude vrlo čista.</w:t>
      </w:r>
      <w:proofErr w:type="gramEnd"/>
      <w:r>
        <w:rPr>
          <w:rStyle w:val="fontstyle01"/>
        </w:rPr>
        <w:t xml:space="preserve"> Na</w:t>
      </w:r>
      <w:r w:rsidR="00F51921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 xml:space="preserve">slici 4.21 prikazan je odnos veličina čestice u vazduhu i raznih prljavština i rastojanja glave </w:t>
      </w:r>
      <w:proofErr w:type="gramStart"/>
      <w:r>
        <w:rPr>
          <w:rStyle w:val="fontstyle01"/>
        </w:rPr>
        <w:t>od</w:t>
      </w:r>
      <w:proofErr w:type="gramEnd"/>
      <w:r>
        <w:rPr>
          <w:rStyle w:val="fontstyle01"/>
        </w:rPr>
        <w:t xml:space="preserve"> diska.</w:t>
      </w:r>
      <w:r w:rsidR="00884DBF">
        <w:rPr>
          <w:rStyle w:val="fontstyle01"/>
        </w:rPr>
        <w:br/>
      </w:r>
      <w:r w:rsidR="00884DBF">
        <w:rPr>
          <w:noProof/>
        </w:rPr>
        <w:drawing>
          <wp:inline distT="0" distB="0" distL="0" distR="0">
            <wp:extent cx="4448175" cy="250444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DBF">
        <w:rPr>
          <w:rStyle w:val="fontstyle01"/>
        </w:rPr>
        <w:br/>
      </w:r>
      <w:r w:rsidR="00884DBF" w:rsidRPr="00884DBF">
        <w:rPr>
          <w:rFonts w:ascii="TimesNewRomanPSMT" w:hAnsi="TimesNewRomanPSMT"/>
          <w:color w:val="000000"/>
          <w:sz w:val="20"/>
        </w:rPr>
        <w:t>Prednost "</w:t>
      </w:r>
      <w:r w:rsidR="00884DBF" w:rsidRPr="00884DBF">
        <w:rPr>
          <w:rFonts w:ascii="TimesNewRomanPS-ItalicMT" w:hAnsi="TimesNewRomanPS-ItalicMT"/>
          <w:i/>
          <w:iCs/>
          <w:color w:val="000000"/>
          <w:sz w:val="20"/>
        </w:rPr>
        <w:t>hard</w:t>
      </w:r>
      <w:r w:rsidR="00884DBF" w:rsidRPr="00884DBF">
        <w:rPr>
          <w:rFonts w:ascii="TimesNewRomanPSMT" w:hAnsi="TimesNewRomanPSMT"/>
          <w:color w:val="000000"/>
          <w:sz w:val="20"/>
        </w:rPr>
        <w:t xml:space="preserve">" diskova je u tome što su oni mehanički stabilniji </w:t>
      </w:r>
      <w:proofErr w:type="gramStart"/>
      <w:r w:rsidR="00884DBF" w:rsidRPr="00884DBF">
        <w:rPr>
          <w:rFonts w:ascii="TimesNewRomanPSMT" w:hAnsi="TimesNewRomanPSMT"/>
          <w:color w:val="000000"/>
          <w:sz w:val="20"/>
        </w:rPr>
        <w:t>od</w:t>
      </w:r>
      <w:proofErr w:type="gramEnd"/>
      <w:r w:rsidR="00884DBF" w:rsidRPr="00884DBF">
        <w:rPr>
          <w:rFonts w:ascii="TimesNewRomanPSMT" w:hAnsi="TimesNewRomanPSMT"/>
          <w:color w:val="000000"/>
          <w:sz w:val="20"/>
        </w:rPr>
        <w:t xml:space="preserve"> "</w:t>
      </w:r>
      <w:r w:rsidR="00884DBF" w:rsidRPr="00884DBF">
        <w:rPr>
          <w:rFonts w:ascii="TimesNewRomanPS-ItalicMT" w:hAnsi="TimesNewRomanPS-ItalicMT"/>
          <w:i/>
          <w:iCs/>
          <w:color w:val="000000"/>
          <w:sz w:val="20"/>
        </w:rPr>
        <w:t>floppy</w:t>
      </w:r>
      <w:r w:rsidR="00884DBF" w:rsidRPr="00884DBF">
        <w:rPr>
          <w:rFonts w:ascii="TimesNewRomanPSMT" w:hAnsi="TimesNewRomanPSMT"/>
          <w:color w:val="000000"/>
          <w:sz w:val="20"/>
        </w:rPr>
        <w:t>" diskova. Ovo obezbeđuje da</w:t>
      </w:r>
      <w:r w:rsidR="00884DBF" w:rsidRPr="00884DBF">
        <w:rPr>
          <w:rFonts w:ascii="TimesNewRomanPSMT" w:hAnsi="TimesNewRomanPSMT"/>
          <w:color w:val="000000"/>
          <w:sz w:val="20"/>
          <w:szCs w:val="20"/>
        </w:rPr>
        <w:br/>
      </w:r>
      <w:r w:rsidR="00884DBF" w:rsidRPr="00884DBF">
        <w:rPr>
          <w:rFonts w:ascii="TimesNewRomanPSMT" w:hAnsi="TimesNewRomanPSMT"/>
          <w:color w:val="000000"/>
          <w:sz w:val="20"/>
        </w:rPr>
        <w:t xml:space="preserve">razmak između pisti </w:t>
      </w:r>
      <w:proofErr w:type="gramStart"/>
      <w:r w:rsidR="00884DBF" w:rsidRPr="00884DBF">
        <w:rPr>
          <w:rFonts w:ascii="TimesNewRomanPSMT" w:hAnsi="TimesNewRomanPSMT"/>
          <w:color w:val="000000"/>
          <w:sz w:val="20"/>
        </w:rPr>
        <w:t>na</w:t>
      </w:r>
      <w:proofErr w:type="gramEnd"/>
      <w:r w:rsidR="00884DBF" w:rsidRPr="00884DBF">
        <w:rPr>
          <w:rFonts w:ascii="TimesNewRomanPSMT" w:hAnsi="TimesNewRomanPSMT"/>
          <w:color w:val="000000"/>
          <w:sz w:val="20"/>
        </w:rPr>
        <w:t xml:space="preserve"> "</w:t>
      </w:r>
      <w:r w:rsidR="00884DBF" w:rsidRPr="00884DBF">
        <w:rPr>
          <w:rFonts w:ascii="TimesNewRomanPS-ItalicMT" w:hAnsi="TimesNewRomanPS-ItalicMT"/>
          <w:i/>
          <w:iCs/>
          <w:color w:val="000000"/>
          <w:sz w:val="20"/>
        </w:rPr>
        <w:t>hard</w:t>
      </w:r>
      <w:r w:rsidR="00884DBF" w:rsidRPr="00884DBF">
        <w:rPr>
          <w:rFonts w:ascii="TimesNewRomanPSMT" w:hAnsi="TimesNewRomanPSMT"/>
          <w:color w:val="000000"/>
          <w:sz w:val="20"/>
        </w:rPr>
        <w:t xml:space="preserve">" disku bude manji, a shodno tome i količina informacije koja se može memorisati dabude veća. </w:t>
      </w:r>
      <w:proofErr w:type="gramStart"/>
      <w:r w:rsidR="00884DBF" w:rsidRPr="00884DBF">
        <w:rPr>
          <w:rFonts w:ascii="TimesNewRomanPSMT" w:hAnsi="TimesNewRomanPSMT"/>
          <w:color w:val="000000"/>
          <w:sz w:val="20"/>
        </w:rPr>
        <w:t>Takođe i brzina okretanja "</w:t>
      </w:r>
      <w:r w:rsidR="00884DBF" w:rsidRPr="00884DBF">
        <w:rPr>
          <w:rFonts w:ascii="TimesNewRomanPS-ItalicMT" w:hAnsi="TimesNewRomanPS-ItalicMT"/>
          <w:i/>
          <w:iCs/>
          <w:color w:val="000000"/>
          <w:sz w:val="20"/>
        </w:rPr>
        <w:t>hard</w:t>
      </w:r>
      <w:r w:rsidR="00884DBF" w:rsidRPr="00884DBF">
        <w:rPr>
          <w:rFonts w:ascii="TimesNewRomanPSMT" w:hAnsi="TimesNewRomanPSMT"/>
          <w:color w:val="000000"/>
          <w:sz w:val="20"/>
        </w:rPr>
        <w:t>" diskova je veća što obezbeđuje da brzina prenosa podataka bude veća.</w:t>
      </w:r>
      <w:proofErr w:type="gramEnd"/>
      <w:r w:rsidR="00884DBF" w:rsidRPr="00884DBF">
        <w:rPr>
          <w:rFonts w:ascii="TimesNewRomanPSMT" w:hAnsi="TimesNewRomanPSMT"/>
          <w:color w:val="000000"/>
          <w:sz w:val="20"/>
          <w:szCs w:val="20"/>
        </w:rPr>
        <w:br/>
      </w:r>
      <w:proofErr w:type="gramStart"/>
      <w:r w:rsidR="00884DBF" w:rsidRPr="00884DBF">
        <w:rPr>
          <w:rFonts w:ascii="TimesNewRomanPSMT" w:hAnsi="TimesNewRomanPSMT"/>
          <w:color w:val="000000"/>
          <w:sz w:val="20"/>
        </w:rPr>
        <w:t>Sa</w:t>
      </w:r>
      <w:proofErr w:type="gramEnd"/>
      <w:r w:rsidR="00884DBF" w:rsidRPr="00884DBF">
        <w:rPr>
          <w:rFonts w:ascii="TimesNewRomanPSMT" w:hAnsi="TimesNewRomanPSMT"/>
          <w:color w:val="000000"/>
          <w:sz w:val="20"/>
        </w:rPr>
        <w:t xml:space="preserve"> druge strane, prednost "</w:t>
      </w:r>
      <w:r w:rsidR="00884DBF" w:rsidRPr="00884DBF">
        <w:rPr>
          <w:rFonts w:ascii="TimesNewRomanPS-ItalicMT" w:hAnsi="TimesNewRomanPS-ItalicMT"/>
          <w:i/>
          <w:iCs/>
          <w:color w:val="000000"/>
          <w:sz w:val="20"/>
        </w:rPr>
        <w:t>floppy</w:t>
      </w:r>
      <w:r w:rsidR="00884DBF" w:rsidRPr="00884DBF">
        <w:rPr>
          <w:rFonts w:ascii="TimesNewRomanPSMT" w:hAnsi="TimesNewRomanPSMT"/>
          <w:color w:val="000000"/>
          <w:sz w:val="20"/>
        </w:rPr>
        <w:t>" disketa (sa izuzetkom i nekih "</w:t>
      </w:r>
      <w:r w:rsidR="00884DBF" w:rsidRPr="00884DBF">
        <w:rPr>
          <w:rFonts w:ascii="TimesNewRomanPS-ItalicMT" w:hAnsi="TimesNewRomanPS-ItalicMT"/>
          <w:i/>
          <w:iCs/>
          <w:color w:val="000000"/>
          <w:sz w:val="20"/>
        </w:rPr>
        <w:t>hard</w:t>
      </w:r>
      <w:r w:rsidR="00884DBF" w:rsidRPr="00884DBF">
        <w:rPr>
          <w:rFonts w:ascii="TimesNewRomanPSMT" w:hAnsi="TimesNewRomanPSMT"/>
          <w:color w:val="000000"/>
          <w:sz w:val="20"/>
        </w:rPr>
        <w:t>" diskova) je što su prenosivi, što ukazuje da</w:t>
      </w:r>
      <w:r w:rsidR="00884DBF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F51921">
        <w:rPr>
          <w:rFonts w:ascii="TimesNewRomanPSMT" w:hAnsi="TimesNewRomanPSMT"/>
          <w:color w:val="000000"/>
          <w:sz w:val="20"/>
        </w:rPr>
        <w:t xml:space="preserve">možemo </w:t>
      </w:r>
      <w:r w:rsidR="00884DBF" w:rsidRPr="00884DBF">
        <w:rPr>
          <w:rFonts w:ascii="TimesNewRomanPSMT" w:hAnsi="TimesNewRomanPSMT"/>
          <w:color w:val="000000"/>
          <w:sz w:val="20"/>
        </w:rPr>
        <w:t>raspolagati sa neograničenim iznosom "</w:t>
      </w:r>
      <w:r w:rsidR="00884DBF" w:rsidRPr="00884DBF">
        <w:rPr>
          <w:rFonts w:ascii="TimesNewRomanPS-ItalicMT" w:hAnsi="TimesNewRomanPS-ItalicMT"/>
          <w:i/>
          <w:iCs/>
          <w:color w:val="000000"/>
          <w:sz w:val="20"/>
        </w:rPr>
        <w:t>off</w:t>
      </w:r>
      <w:r w:rsidR="00884DBF" w:rsidRPr="00884DBF">
        <w:rPr>
          <w:rFonts w:ascii="TimesNewRomanPSMT" w:hAnsi="TimesNewRomanPSMT"/>
          <w:color w:val="000000"/>
          <w:sz w:val="20"/>
        </w:rPr>
        <w:t>-</w:t>
      </w:r>
      <w:r w:rsidR="00884DBF" w:rsidRPr="00884DBF">
        <w:rPr>
          <w:rFonts w:ascii="TimesNewRomanPS-ItalicMT" w:hAnsi="TimesNewRomanPS-ItalicMT"/>
          <w:i/>
          <w:iCs/>
          <w:color w:val="000000"/>
          <w:sz w:val="20"/>
        </w:rPr>
        <w:t>line</w:t>
      </w:r>
      <w:r w:rsidR="00884DBF" w:rsidRPr="00884DBF">
        <w:rPr>
          <w:rFonts w:ascii="TimesNewRomanPSMT" w:hAnsi="TimesNewRomanPSMT"/>
          <w:color w:val="000000"/>
          <w:sz w:val="20"/>
        </w:rPr>
        <w:t>" memorije.</w:t>
      </w:r>
      <w:r w:rsidR="00884DBF"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gramStart"/>
      <w:r w:rsidR="00884DBF" w:rsidRPr="00884DBF">
        <w:rPr>
          <w:rFonts w:ascii="TimesNewRomanPSMT" w:hAnsi="TimesNewRomanPSMT"/>
          <w:color w:val="000000"/>
          <w:sz w:val="20"/>
        </w:rPr>
        <w:t>Najčešće korišćeni "</w:t>
      </w:r>
      <w:r w:rsidR="00884DBF" w:rsidRPr="00884DBF">
        <w:rPr>
          <w:rFonts w:ascii="TimesNewRomanPS-ItalicMT" w:hAnsi="TimesNewRomanPS-ItalicMT"/>
          <w:i/>
          <w:iCs/>
          <w:color w:val="000000"/>
          <w:sz w:val="20"/>
        </w:rPr>
        <w:t>hard</w:t>
      </w:r>
      <w:r w:rsidR="00884DBF" w:rsidRPr="00884DBF">
        <w:rPr>
          <w:rFonts w:ascii="TimesNewRomanPSMT" w:hAnsi="TimesNewRomanPSMT"/>
          <w:color w:val="000000"/>
          <w:sz w:val="20"/>
        </w:rPr>
        <w:t xml:space="preserve">" diskovi su </w:t>
      </w:r>
      <w:r w:rsidR="00884DBF" w:rsidRPr="00884DBF">
        <w:rPr>
          <w:rFonts w:ascii="TimesNewRomanPS-ItalicMT" w:hAnsi="TimesNewRomanPS-ItalicMT"/>
          <w:i/>
          <w:iCs/>
          <w:color w:val="000000"/>
          <w:sz w:val="20"/>
        </w:rPr>
        <w:t xml:space="preserve">Winchester </w:t>
      </w:r>
      <w:r w:rsidR="00884DBF" w:rsidRPr="00884DBF">
        <w:rPr>
          <w:rFonts w:ascii="TimesNewRomanPSMT" w:hAnsi="TimesNewRomanPSMT"/>
          <w:color w:val="000000"/>
          <w:sz w:val="20"/>
        </w:rPr>
        <w:t>diskovi kod kojih je medijum za snimanje neprenosiv.</w:t>
      </w:r>
      <w:proofErr w:type="gramEnd"/>
      <w:r w:rsidR="00884DBF"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gramStart"/>
      <w:r w:rsidR="00884DBF" w:rsidRPr="00884DBF">
        <w:rPr>
          <w:rFonts w:ascii="TimesNewRomanPSMT" w:hAnsi="TimesNewRomanPSMT"/>
          <w:color w:val="000000"/>
          <w:sz w:val="20"/>
        </w:rPr>
        <w:t xml:space="preserve">Prednost </w:t>
      </w:r>
      <w:r w:rsidR="00884DBF" w:rsidRPr="00884DBF">
        <w:rPr>
          <w:rFonts w:ascii="TimesNewRomanPS-ItalicMT" w:hAnsi="TimesNewRomanPS-ItalicMT"/>
          <w:i/>
          <w:iCs/>
          <w:color w:val="000000"/>
          <w:sz w:val="20"/>
        </w:rPr>
        <w:t xml:space="preserve">Winchester </w:t>
      </w:r>
      <w:r w:rsidR="00884DBF" w:rsidRPr="00884DBF">
        <w:rPr>
          <w:rFonts w:ascii="TimesNewRomanPSMT" w:hAnsi="TimesNewRomanPSMT"/>
          <w:color w:val="000000"/>
          <w:sz w:val="20"/>
        </w:rPr>
        <w:t>diskova je što su relativno jevtini.</w:t>
      </w:r>
      <w:proofErr w:type="gramEnd"/>
      <w:r w:rsidR="00884DBF" w:rsidRPr="00884DBF">
        <w:rPr>
          <w:rStyle w:val="fontstyle01"/>
        </w:rPr>
        <w:t xml:space="preserve"> </w:t>
      </w:r>
      <w:proofErr w:type="gramStart"/>
      <w:r w:rsidR="00884DBF" w:rsidRPr="00884DBF">
        <w:rPr>
          <w:rFonts w:ascii="TimesNewRomanPSMT" w:hAnsi="TimesNewRomanPSMT"/>
          <w:color w:val="000000"/>
          <w:sz w:val="20"/>
        </w:rPr>
        <w:t>Medijum kod "</w:t>
      </w:r>
      <w:r w:rsidR="00884DBF" w:rsidRPr="00884DBF">
        <w:rPr>
          <w:rFonts w:ascii="TimesNewRomanPS-ItalicMT" w:hAnsi="TimesNewRomanPS-ItalicMT"/>
          <w:i/>
          <w:iCs/>
          <w:color w:val="000000"/>
          <w:sz w:val="20"/>
        </w:rPr>
        <w:t>hard</w:t>
      </w:r>
      <w:r w:rsidR="00884DBF" w:rsidRPr="00884DBF">
        <w:rPr>
          <w:rFonts w:ascii="TimesNewRomanPSMT" w:hAnsi="TimesNewRomanPSMT"/>
          <w:color w:val="000000"/>
          <w:sz w:val="20"/>
        </w:rPr>
        <w:t>" diska se zove tanjir (</w:t>
      </w:r>
      <w:r w:rsidR="00884DBF" w:rsidRPr="00884DBF">
        <w:rPr>
          <w:rFonts w:ascii="TimesNewRomanPS-ItalicMT" w:hAnsi="TimesNewRomanPS-ItalicMT"/>
          <w:i/>
          <w:iCs/>
          <w:color w:val="000000"/>
          <w:sz w:val="20"/>
        </w:rPr>
        <w:t>platter</w:t>
      </w:r>
      <w:r w:rsidR="00884DBF" w:rsidRPr="00884DBF">
        <w:rPr>
          <w:rFonts w:ascii="TimesNewRomanPSMT" w:hAnsi="TimesNewRomanPSMT"/>
          <w:color w:val="000000"/>
          <w:sz w:val="20"/>
        </w:rPr>
        <w:t>).</w:t>
      </w:r>
      <w:proofErr w:type="gramEnd"/>
      <w:r w:rsidR="00884DBF" w:rsidRPr="00884DBF">
        <w:rPr>
          <w:rFonts w:ascii="TimesNewRomanPSMT" w:hAnsi="TimesNewRomanPSMT"/>
          <w:color w:val="000000"/>
          <w:sz w:val="20"/>
        </w:rPr>
        <w:t xml:space="preserve"> </w:t>
      </w:r>
      <w:proofErr w:type="gramStart"/>
      <w:r w:rsidR="00884DBF" w:rsidRPr="00884DBF">
        <w:rPr>
          <w:rFonts w:ascii="TimesNewRomanPSMT" w:hAnsi="TimesNewRomanPSMT"/>
          <w:color w:val="000000"/>
          <w:sz w:val="20"/>
        </w:rPr>
        <w:t>Svaka strana tanjira ima svoju sopstvenu glavu za</w:t>
      </w:r>
      <w:r w:rsidR="00884DBF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884DBF" w:rsidRPr="00884DBF">
        <w:rPr>
          <w:rFonts w:ascii="TimesNewRomanPSMT" w:hAnsi="TimesNewRomanPSMT"/>
          <w:color w:val="000000"/>
          <w:sz w:val="20"/>
        </w:rPr>
        <w:t>čitanje/upis.</w:t>
      </w:r>
      <w:proofErr w:type="gramEnd"/>
      <w:r w:rsidR="00884DBF" w:rsidRPr="00884DBF">
        <w:rPr>
          <w:rFonts w:ascii="TimesNewRomanPSMT" w:hAnsi="TimesNewRomanPSMT"/>
          <w:color w:val="000000"/>
          <w:sz w:val="20"/>
        </w:rPr>
        <w:t xml:space="preserve"> Najveći broj "</w:t>
      </w:r>
      <w:r w:rsidR="00884DBF" w:rsidRPr="00884DBF">
        <w:rPr>
          <w:rFonts w:ascii="TimesNewRomanPS-ItalicMT" w:hAnsi="TimesNewRomanPS-ItalicMT"/>
          <w:i/>
          <w:iCs/>
          <w:color w:val="000000"/>
          <w:sz w:val="20"/>
        </w:rPr>
        <w:t>hard</w:t>
      </w:r>
      <w:r w:rsidR="00884DBF" w:rsidRPr="00884DBF">
        <w:rPr>
          <w:rFonts w:ascii="TimesNewRomanPSMT" w:hAnsi="TimesNewRomanPSMT"/>
          <w:color w:val="000000"/>
          <w:sz w:val="20"/>
        </w:rPr>
        <w:t xml:space="preserve">" diskova ima veći broj tanjira instaliranih </w:t>
      </w:r>
      <w:proofErr w:type="gramStart"/>
      <w:r w:rsidR="00884DBF" w:rsidRPr="00884DBF">
        <w:rPr>
          <w:rFonts w:ascii="TimesNewRomanPSMT" w:hAnsi="TimesNewRomanPSMT"/>
          <w:color w:val="000000"/>
          <w:sz w:val="20"/>
        </w:rPr>
        <w:t>na</w:t>
      </w:r>
      <w:proofErr w:type="gramEnd"/>
      <w:r w:rsidR="00884DBF" w:rsidRPr="00884DBF">
        <w:rPr>
          <w:rFonts w:ascii="TimesNewRomanPSMT" w:hAnsi="TimesNewRomanPSMT"/>
          <w:color w:val="000000"/>
          <w:sz w:val="20"/>
        </w:rPr>
        <w:t xml:space="preserve"> jednoj osovini (slike 4.22 i 4.23).</w:t>
      </w:r>
      <w:r w:rsidR="00884DBF"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gramStart"/>
      <w:r w:rsidR="00884DBF" w:rsidRPr="00884DBF">
        <w:rPr>
          <w:rFonts w:ascii="TimesNewRomanPSMT" w:hAnsi="TimesNewRomanPSMT"/>
          <w:color w:val="000000"/>
          <w:sz w:val="20"/>
        </w:rPr>
        <w:t>Kod disk drajvova koji imaju veći broj površina za zapis, u jednom trenutku samo jedna glava je aktivna.</w:t>
      </w:r>
      <w:proofErr w:type="gramEnd"/>
      <w:r w:rsidR="00884DBF"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gramStart"/>
      <w:r w:rsidR="00884DBF" w:rsidRPr="00884DBF">
        <w:rPr>
          <w:rFonts w:ascii="TimesNewRomanPSMT" w:hAnsi="TimesNewRomanPSMT"/>
          <w:color w:val="000000"/>
          <w:sz w:val="20"/>
        </w:rPr>
        <w:t>Sve glave se pozicioniraju zajedno.</w:t>
      </w:r>
      <w:proofErr w:type="gramEnd"/>
      <w:r w:rsidR="00884DBF" w:rsidRPr="00884DBF">
        <w:rPr>
          <w:rFonts w:ascii="TimesNewRomanPSMT" w:hAnsi="TimesNewRomanPSMT"/>
          <w:color w:val="000000"/>
          <w:sz w:val="20"/>
        </w:rPr>
        <w:t xml:space="preserve"> Grupa pisti kojoj se pristupa pomoću glava </w:t>
      </w:r>
      <w:proofErr w:type="gramStart"/>
      <w:r w:rsidR="00884DBF" w:rsidRPr="00884DBF">
        <w:rPr>
          <w:rFonts w:ascii="TimesNewRomanPSMT" w:hAnsi="TimesNewRomanPSMT"/>
          <w:color w:val="000000"/>
          <w:sz w:val="20"/>
        </w:rPr>
        <w:t>na</w:t>
      </w:r>
      <w:proofErr w:type="gramEnd"/>
      <w:r w:rsidR="00884DBF" w:rsidRPr="00884DBF">
        <w:rPr>
          <w:rFonts w:ascii="TimesNewRomanPSMT" w:hAnsi="TimesNewRomanPSMT"/>
          <w:color w:val="000000"/>
          <w:sz w:val="20"/>
        </w:rPr>
        <w:t xml:space="preserve"> datoj poziciji zove se cilindar.</w:t>
      </w:r>
      <w:r w:rsidR="00884DBF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F51921">
        <w:rPr>
          <w:rFonts w:ascii="TimesNewRomanPSMT" w:hAnsi="TimesNewRomanPSMT"/>
          <w:color w:val="000000"/>
          <w:sz w:val="20"/>
        </w:rPr>
        <w:t xml:space="preserve">Kod </w:t>
      </w:r>
      <w:r w:rsidR="00884DBF" w:rsidRPr="00884DBF">
        <w:rPr>
          <w:rFonts w:ascii="TimesNewRomanPSMT" w:hAnsi="TimesNewRomanPSMT"/>
          <w:color w:val="000000"/>
          <w:sz w:val="20"/>
        </w:rPr>
        <w:t xml:space="preserve">dvostranih jedinica disketa, cilindar čine dve piste koje se nalaze </w:t>
      </w:r>
      <w:proofErr w:type="gramStart"/>
      <w:r w:rsidR="00884DBF" w:rsidRPr="00884DBF">
        <w:rPr>
          <w:rFonts w:ascii="TimesNewRomanPSMT" w:hAnsi="TimesNewRomanPSMT"/>
          <w:color w:val="000000"/>
          <w:sz w:val="20"/>
        </w:rPr>
        <w:t>na</w:t>
      </w:r>
      <w:proofErr w:type="gramEnd"/>
      <w:r w:rsidR="00884DBF" w:rsidRPr="00884DBF">
        <w:rPr>
          <w:rFonts w:ascii="TimesNewRomanPSMT" w:hAnsi="TimesNewRomanPSMT"/>
          <w:color w:val="000000"/>
          <w:sz w:val="20"/>
        </w:rPr>
        <w:t xml:space="preserve"> suprotnim stranama diska.</w:t>
      </w:r>
    </w:p>
    <w:p w:rsidR="00884DBF" w:rsidRDefault="00884DBF">
      <w:r>
        <w:rPr>
          <w:noProof/>
        </w:rPr>
        <w:lastRenderedPageBreak/>
        <w:drawing>
          <wp:inline distT="0" distB="0" distL="0" distR="0">
            <wp:extent cx="3526516" cy="2099182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991" cy="210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9923" cy="243161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18" cy="243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DBF" w:rsidSect="003111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isplayHorizontalDrawingGridEvery w:val="2"/>
  <w:characterSpacingControl w:val="doNotCompress"/>
  <w:compat/>
  <w:rsids>
    <w:rsidRoot w:val="003111AF"/>
    <w:rsid w:val="00011105"/>
    <w:rsid w:val="003111AF"/>
    <w:rsid w:val="005D187B"/>
    <w:rsid w:val="00884DBF"/>
    <w:rsid w:val="00995F02"/>
    <w:rsid w:val="00A315DE"/>
    <w:rsid w:val="00AB1D5E"/>
    <w:rsid w:val="00BE25E1"/>
    <w:rsid w:val="00C76E75"/>
    <w:rsid w:val="00F5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111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111AF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AF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DefaultParagraphFont"/>
    <w:rsid w:val="003111AF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4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it.tomic1@gmail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2021-03-22T21:57:00Z</dcterms:created>
  <dcterms:modified xsi:type="dcterms:W3CDTF">2021-03-22T21:58:00Z</dcterms:modified>
</cp:coreProperties>
</file>